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ook w:val="01E0" w:firstRow="1" w:lastRow="1" w:firstColumn="1" w:lastColumn="1" w:noHBand="0" w:noVBand="0"/>
      </w:tblPr>
      <w:tblGrid>
        <w:gridCol w:w="4566"/>
        <w:gridCol w:w="5387"/>
      </w:tblGrid>
      <w:tr w:rsidR="00974CC6" w:rsidRPr="00974CC6" w:rsidTr="00CA6D2A">
        <w:trPr>
          <w:trHeight w:val="2836"/>
        </w:trPr>
        <w:tc>
          <w:tcPr>
            <w:tcW w:w="4566" w:type="dxa"/>
          </w:tcPr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УПРАВЛЕНИЕ ОБРАЗОВАНИЯ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Администрации городского округа Стрежевой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ул. </w:t>
            </w:r>
            <w:r w:rsidR="00E20135"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Коммунальная, 1</w:t>
            </w: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/1, г. Стрежевой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Томская область, 636785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Тел/факс (382-59) 5-58-04</w:t>
            </w:r>
          </w:p>
          <w:p w:rsidR="00974CC6" w:rsidRPr="005356EE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  <w:lang w:val="en-US"/>
              </w:rPr>
              <w:t>E</w:t>
            </w:r>
            <w:r w:rsidRPr="005356EE"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  <w:lang w:val="en-US"/>
              </w:rPr>
              <w:t>mail</w:t>
            </w:r>
            <w:r w:rsidRPr="005356E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: </w:t>
            </w:r>
            <w:hyperlink r:id="rId4" w:history="1"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uo</w:t>
              </w:r>
              <w:r w:rsidRPr="005356EE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</w:rPr>
                <w:t>@</w:t>
              </w:r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guostrj</w:t>
              </w:r>
              <w:r w:rsidRPr="005356EE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</w:rPr>
                <w:t>.</w:t>
              </w:r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974CC6" w:rsidRPr="005356EE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ИНН</w:t>
            </w:r>
            <w:r w:rsidRPr="005356E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7022004509/</w:t>
            </w: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КПП</w:t>
            </w:r>
            <w:r w:rsidRPr="005356E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702201001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ОГРН 1037000331081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974CC6" w:rsidRPr="00974CC6" w:rsidRDefault="00BF0075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04</w:t>
            </w:r>
            <w:r w:rsidR="005356EE">
              <w:rPr>
                <w:rFonts w:ascii="PT Astra Serif" w:eastAsia="Times New Roman" w:hAnsi="PT Astra Serif" w:cs="Times New Roman"/>
                <w:sz w:val="26"/>
                <w:szCs w:val="26"/>
              </w:rPr>
              <w:t>.07.2022</w:t>
            </w:r>
            <w:r w:rsidR="00974CC6"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№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1113</w:t>
            </w:r>
            <w:bookmarkStart w:id="0" w:name="_GoBack"/>
            <w:bookmarkEnd w:id="0"/>
          </w:p>
          <w:p w:rsidR="00974CC6" w:rsidRPr="00974CC6" w:rsidRDefault="00974CC6" w:rsidP="00B61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E76819" w:rsidRDefault="00E76819" w:rsidP="00974CC6">
            <w:pPr>
              <w:widowControl/>
              <w:autoSpaceDE/>
              <w:autoSpaceDN/>
              <w:adjustRightInd/>
              <w:ind w:left="1132"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5356EE" w:rsidRDefault="005356EE" w:rsidP="00974CC6">
            <w:pPr>
              <w:widowControl/>
              <w:autoSpaceDE/>
              <w:autoSpaceDN/>
              <w:adjustRightInd/>
              <w:ind w:left="1132"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Руководителям </w:t>
            </w:r>
          </w:p>
          <w:p w:rsidR="005356EE" w:rsidRPr="00E76819" w:rsidRDefault="005356EE" w:rsidP="00974CC6">
            <w:pPr>
              <w:widowControl/>
              <w:autoSpaceDE/>
              <w:autoSpaceDN/>
              <w:adjustRightInd/>
              <w:ind w:left="1132"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10"/>
                <w:szCs w:val="10"/>
              </w:rPr>
            </w:pPr>
          </w:p>
          <w:p w:rsidR="005356EE" w:rsidRDefault="005356EE" w:rsidP="005356EE">
            <w:pPr>
              <w:widowControl/>
              <w:autoSpaceDE/>
              <w:autoSpaceDN/>
              <w:adjustRightInd/>
              <w:ind w:left="1132"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356E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структурных подразделений муниципального дошкольного образовательного учреждения, </w:t>
            </w:r>
          </w:p>
          <w:p w:rsidR="005356EE" w:rsidRPr="00E76819" w:rsidRDefault="005356EE" w:rsidP="005356EE">
            <w:pPr>
              <w:widowControl/>
              <w:autoSpaceDE/>
              <w:autoSpaceDN/>
              <w:adjustRightInd/>
              <w:ind w:left="1132"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10"/>
                <w:szCs w:val="10"/>
              </w:rPr>
            </w:pPr>
          </w:p>
          <w:p w:rsidR="005356EE" w:rsidRDefault="005356EE" w:rsidP="005356EE">
            <w:pPr>
              <w:widowControl/>
              <w:autoSpaceDE/>
              <w:autoSpaceDN/>
              <w:adjustRightInd/>
              <w:ind w:left="1132"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муниципальных</w:t>
            </w:r>
          </w:p>
          <w:p w:rsidR="005356EE" w:rsidRDefault="005356EE" w:rsidP="005356EE">
            <w:pPr>
              <w:widowControl/>
              <w:autoSpaceDE/>
              <w:autoSpaceDN/>
              <w:adjustRightInd/>
              <w:ind w:left="1132"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общеобразовательных учреждений, </w:t>
            </w:r>
          </w:p>
          <w:p w:rsidR="005356EE" w:rsidRPr="00E76819" w:rsidRDefault="005356EE" w:rsidP="005356EE">
            <w:pPr>
              <w:widowControl/>
              <w:autoSpaceDE/>
              <w:autoSpaceDN/>
              <w:adjustRightInd/>
              <w:ind w:left="1132"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10"/>
                <w:szCs w:val="10"/>
              </w:rPr>
            </w:pPr>
          </w:p>
          <w:p w:rsidR="00974CC6" w:rsidRDefault="005356EE" w:rsidP="005356EE">
            <w:pPr>
              <w:widowControl/>
              <w:autoSpaceDE/>
              <w:autoSpaceDN/>
              <w:adjustRightInd/>
              <w:ind w:left="1132"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муниципальных учреждений дополнительного образования</w:t>
            </w:r>
          </w:p>
          <w:p w:rsidR="005356EE" w:rsidRPr="00974CC6" w:rsidRDefault="005356EE" w:rsidP="00B61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</w:tbl>
    <w:p w:rsidR="00455B7F" w:rsidRDefault="00455B7F" w:rsidP="00974CC6">
      <w:pPr>
        <w:widowControl/>
        <w:autoSpaceDE/>
        <w:autoSpaceDN/>
        <w:adjustRightInd/>
        <w:ind w:firstLine="0"/>
        <w:contextualSpacing/>
        <w:jc w:val="center"/>
        <w:rPr>
          <w:rFonts w:ascii="PT Astra Serif" w:eastAsiaTheme="minorHAnsi" w:hAnsi="PT Astra Serif" w:cstheme="minorBidi"/>
          <w:sz w:val="25"/>
          <w:szCs w:val="25"/>
          <w:lang w:eastAsia="en-US"/>
        </w:rPr>
      </w:pPr>
    </w:p>
    <w:p w:rsidR="00974CC6" w:rsidRPr="00B612B9" w:rsidRDefault="00974CC6" w:rsidP="00974CC6">
      <w:pPr>
        <w:widowControl/>
        <w:autoSpaceDE/>
        <w:autoSpaceDN/>
        <w:adjustRightInd/>
        <w:ind w:firstLine="0"/>
        <w:contextualSpacing/>
        <w:jc w:val="center"/>
        <w:rPr>
          <w:rFonts w:ascii="PT Astra Serif" w:eastAsiaTheme="minorHAnsi" w:hAnsi="PT Astra Serif" w:cstheme="minorBidi"/>
          <w:sz w:val="25"/>
          <w:szCs w:val="25"/>
          <w:lang w:eastAsia="en-US"/>
        </w:rPr>
      </w:pPr>
      <w:r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>Уважаем</w:t>
      </w:r>
      <w:r w:rsidR="005356EE"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>ые</w:t>
      </w:r>
      <w:r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 xml:space="preserve"> </w:t>
      </w:r>
      <w:r w:rsidR="005356EE"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>руководители</w:t>
      </w:r>
      <w:r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>!</w:t>
      </w:r>
    </w:p>
    <w:p w:rsidR="00974CC6" w:rsidRPr="00455B7F" w:rsidRDefault="00974CC6" w:rsidP="00974CC6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1C363D" w:rsidRPr="00455B7F" w:rsidRDefault="005356EE" w:rsidP="00974CC6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Управление образования информирует о размещении на сайте ОГБУ ДПО «ТОИПКРО»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</w:t>
      </w:r>
      <w:r w:rsidR="00033888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(далее – Методические рекомендации)</w:t>
      </w:r>
      <w:r w:rsidR="001C363D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.</w:t>
      </w:r>
    </w:p>
    <w:p w:rsidR="00974CC6" w:rsidRPr="00455B7F" w:rsidRDefault="001C363D" w:rsidP="001C363D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Ссылка на </w:t>
      </w:r>
      <w:r w:rsidR="00033888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Методические рекомендации</w:t>
      </w: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: </w:t>
      </w:r>
      <w:hyperlink r:id="rId5" w:history="1">
        <w:r w:rsidR="005356EE" w:rsidRPr="00455B7F">
          <w:rPr>
            <w:rStyle w:val="a6"/>
            <w:rFonts w:ascii="PT Astra Serif" w:eastAsiaTheme="minorHAnsi" w:hAnsi="PT Astra Serif" w:cstheme="minorBidi"/>
            <w:sz w:val="26"/>
            <w:szCs w:val="26"/>
            <w:lang w:eastAsia="en-US"/>
          </w:rPr>
          <w:t>https://toipkro.ru/departments/centr-organizacionno-metodicheskoj-raboty-35/nastavnichestvo/</w:t>
        </w:r>
      </w:hyperlink>
      <w:r w:rsidR="005356EE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</w:t>
      </w:r>
    </w:p>
    <w:p w:rsidR="00033888" w:rsidRPr="00455B7F" w:rsidRDefault="00033888" w:rsidP="00033888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Установленный срок внедрения системы (целевой модели) наставничества педагогических работников в образовательных организациях – конец 2022 года.</w:t>
      </w:r>
    </w:p>
    <w:p w:rsidR="00455B7F" w:rsidRDefault="00455B7F" w:rsidP="00033888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102B4B" w:rsidRPr="00455B7F" w:rsidRDefault="00C443DE" w:rsidP="00033888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Рекомендуем</w:t>
      </w:r>
      <w:r w:rsidR="00102B4B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:</w:t>
      </w:r>
    </w:p>
    <w:p w:rsidR="00102B4B" w:rsidRPr="00455B7F" w:rsidRDefault="00102B4B" w:rsidP="00033888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1. И</w:t>
      </w:r>
      <w:r w:rsidR="00033888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зучить Методические рекомендации</w:t>
      </w: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.</w:t>
      </w:r>
    </w:p>
    <w:p w:rsidR="00033888" w:rsidRPr="00455B7F" w:rsidRDefault="00102B4B" w:rsidP="00033888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2. Разработать или </w:t>
      </w:r>
      <w:r w:rsidR="00033888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привести </w:t>
      </w: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имеющиеся </w:t>
      </w:r>
      <w:r w:rsidR="00033888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локальные акты учреждений в соответствие с </w:t>
      </w: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Примерным положением о системе наставничества педагогических работников в образовательной организации и</w:t>
      </w:r>
      <w:r w:rsidRPr="00455B7F">
        <w:rPr>
          <w:sz w:val="26"/>
          <w:szCs w:val="26"/>
        </w:rPr>
        <w:t xml:space="preserve"> </w:t>
      </w: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Примерной дорожной картой (планом мероприятий) по реализации Положения о системе наставничества педагогических работников в образовательной организации</w:t>
      </w:r>
      <w:r w:rsidR="00455B7F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, размещенные в Методических рекомендациях.</w:t>
      </w:r>
    </w:p>
    <w:p w:rsidR="00F263AA" w:rsidRPr="00455B7F" w:rsidRDefault="00F263AA" w:rsidP="00F263AA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b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b/>
          <w:sz w:val="26"/>
          <w:szCs w:val="26"/>
          <w:lang w:eastAsia="en-US"/>
        </w:rPr>
        <w:t>Просим учитывать основные положения муниципальной политики в области развития наставничества согласно проекту «Моделирование развивающей среды функционирования института педагогического наставничества в муниципальной системе образования городского округа Стрежевой» на 2020-2024гг.</w:t>
      </w:r>
    </w:p>
    <w:p w:rsidR="00102B4B" w:rsidRPr="00455B7F" w:rsidRDefault="00102B4B" w:rsidP="00033888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3. Обновить содержание раздела «Развитие наставничества» на официальном сайте учреждения.</w:t>
      </w:r>
    </w:p>
    <w:p w:rsidR="00F263AA" w:rsidRPr="00455B7F" w:rsidRDefault="00F263AA" w:rsidP="00033888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Срок – до </w:t>
      </w:r>
      <w:r w:rsid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3</w:t>
      </w: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</w:t>
      </w:r>
      <w:r w:rsid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ноября</w:t>
      </w: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2022 года.</w:t>
      </w:r>
    </w:p>
    <w:p w:rsidR="00B612B9" w:rsidRPr="00455B7F" w:rsidRDefault="00F263AA" w:rsidP="00B612B9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4. Предоставить ссылку на раздел «Развитие наставничества» на официальном сайте учреждения на электронный адрес </w:t>
      </w:r>
      <w:hyperlink r:id="rId6" w:history="1">
        <w:r w:rsidRPr="00455B7F">
          <w:rPr>
            <w:rStyle w:val="a6"/>
            <w:rFonts w:ascii="PT Astra Serif" w:eastAsiaTheme="minorHAnsi" w:hAnsi="PT Astra Serif" w:cstheme="minorBidi"/>
            <w:sz w:val="26"/>
            <w:szCs w:val="26"/>
            <w:lang w:val="en-US" w:eastAsia="en-US"/>
          </w:rPr>
          <w:t>ArbuzovaAV</w:t>
        </w:r>
        <w:r w:rsidRPr="00455B7F">
          <w:rPr>
            <w:rStyle w:val="a6"/>
            <w:rFonts w:ascii="PT Astra Serif" w:eastAsiaTheme="minorHAnsi" w:hAnsi="PT Astra Serif" w:cstheme="minorBidi"/>
            <w:sz w:val="26"/>
            <w:szCs w:val="26"/>
            <w:lang w:eastAsia="en-US"/>
          </w:rPr>
          <w:t>@</w:t>
        </w:r>
        <w:r w:rsidRPr="00455B7F">
          <w:rPr>
            <w:rStyle w:val="a6"/>
            <w:rFonts w:ascii="PT Astra Serif" w:eastAsiaTheme="minorHAnsi" w:hAnsi="PT Astra Serif" w:cstheme="minorBidi"/>
            <w:sz w:val="26"/>
            <w:szCs w:val="26"/>
            <w:lang w:val="en-US" w:eastAsia="en-US"/>
          </w:rPr>
          <w:t>guostrj</w:t>
        </w:r>
        <w:r w:rsidRPr="00455B7F">
          <w:rPr>
            <w:rStyle w:val="a6"/>
            <w:rFonts w:ascii="PT Astra Serif" w:eastAsiaTheme="minorHAnsi" w:hAnsi="PT Astra Serif" w:cstheme="minorBidi"/>
            <w:sz w:val="26"/>
            <w:szCs w:val="26"/>
            <w:lang w:eastAsia="en-US"/>
          </w:rPr>
          <w:t>.</w:t>
        </w:r>
        <w:r w:rsidRPr="00455B7F">
          <w:rPr>
            <w:rStyle w:val="a6"/>
            <w:rFonts w:ascii="PT Astra Serif" w:eastAsiaTheme="minorHAnsi" w:hAnsi="PT Astra Serif" w:cstheme="minorBidi"/>
            <w:sz w:val="26"/>
            <w:szCs w:val="26"/>
            <w:lang w:val="en-US" w:eastAsia="en-US"/>
          </w:rPr>
          <w:t>ru</w:t>
        </w:r>
      </w:hyperlink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для внесения изменений на сайт</w:t>
      </w:r>
      <w:r w:rsidR="00B612B9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е Управления образования </w:t>
      </w:r>
      <w:hyperlink r:id="rId7" w:history="1">
        <w:r w:rsidR="00B612B9" w:rsidRPr="00455B7F">
          <w:rPr>
            <w:rStyle w:val="a6"/>
            <w:rFonts w:ascii="PT Astra Serif" w:eastAsiaTheme="minorHAnsi" w:hAnsi="PT Astra Serif" w:cstheme="minorBidi"/>
            <w:sz w:val="26"/>
            <w:szCs w:val="26"/>
            <w:lang w:eastAsia="en-US"/>
          </w:rPr>
          <w:t>https://www.guostrj.ru/deyatelnost/municipalnaya-metodicheskaya-sluzhba/gorodskaya-shkola-molodogo-pedagoga/_/</w:t>
        </w:r>
      </w:hyperlink>
      <w:r w:rsidR="00B612B9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для информационной поддержки системы наставничества на муниципальном уровне.</w:t>
      </w:r>
    </w:p>
    <w:p w:rsidR="00102B4B" w:rsidRPr="00455B7F" w:rsidRDefault="00F263AA" w:rsidP="00033888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Срок</w:t>
      </w:r>
      <w:r w:rsidR="00B612B9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– до </w:t>
      </w:r>
      <w:r w:rsid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7</w:t>
      </w:r>
      <w:r w:rsidR="00B612B9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</w:t>
      </w:r>
      <w:r w:rsid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>ноября</w:t>
      </w:r>
      <w:r w:rsidR="00B612B9" w:rsidRPr="00455B7F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2022 года.</w:t>
      </w:r>
    </w:p>
    <w:p w:rsidR="00102B4B" w:rsidRPr="00455B7F" w:rsidRDefault="00102B4B" w:rsidP="00033888">
      <w:pPr>
        <w:widowControl/>
        <w:autoSpaceDE/>
        <w:autoSpaceDN/>
        <w:adjustRightInd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5356EE" w:rsidRPr="00455B7F" w:rsidRDefault="005356EE" w:rsidP="001C363D">
      <w:pPr>
        <w:pStyle w:val="Default"/>
        <w:rPr>
          <w:rFonts w:ascii="PT Astra Serif" w:hAnsi="PT Astra Serif" w:cstheme="minorBidi"/>
          <w:sz w:val="26"/>
          <w:szCs w:val="26"/>
        </w:rPr>
      </w:pPr>
    </w:p>
    <w:p w:rsidR="00974CC6" w:rsidRPr="00B612B9" w:rsidRDefault="00C443DE" w:rsidP="00974CC6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Theme="minorHAnsi" w:hAnsi="PT Astra Serif" w:cstheme="minorBidi"/>
          <w:sz w:val="25"/>
          <w:szCs w:val="25"/>
          <w:lang w:eastAsia="en-US"/>
        </w:rPr>
      </w:pPr>
      <w:r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>И.о. н</w:t>
      </w:r>
      <w:r w:rsidR="00974CC6"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>ачальник</w:t>
      </w:r>
      <w:r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>а</w:t>
      </w:r>
      <w:r w:rsidR="00974CC6"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 xml:space="preserve">        </w:t>
      </w:r>
      <w:r w:rsid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 xml:space="preserve"> </w:t>
      </w:r>
      <w:r w:rsidR="00974CC6"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 xml:space="preserve">             </w:t>
      </w:r>
      <w:r w:rsid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 xml:space="preserve"> </w:t>
      </w:r>
      <w:r w:rsidR="00974CC6"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 xml:space="preserve">                                           </w:t>
      </w:r>
      <w:r w:rsidRPr="00B612B9">
        <w:rPr>
          <w:rFonts w:ascii="PT Astra Serif" w:eastAsiaTheme="minorHAnsi" w:hAnsi="PT Astra Serif" w:cstheme="minorBidi"/>
          <w:sz w:val="25"/>
          <w:szCs w:val="25"/>
          <w:lang w:eastAsia="en-US"/>
        </w:rPr>
        <w:t>О.А. Овчаренко</w:t>
      </w:r>
    </w:p>
    <w:p w:rsidR="00455B7F" w:rsidRDefault="00455B7F" w:rsidP="00974CC6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</w:p>
    <w:p w:rsidR="00455B7F" w:rsidRDefault="00455B7F" w:rsidP="00974CC6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</w:p>
    <w:p w:rsidR="00974CC6" w:rsidRPr="00B612B9" w:rsidRDefault="00C443DE" w:rsidP="00974CC6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  <w:r w:rsidRPr="00B612B9">
        <w:rPr>
          <w:rFonts w:ascii="PT Astra Serif" w:eastAsiaTheme="minorHAnsi" w:hAnsi="PT Astra Serif" w:cstheme="minorBidi"/>
          <w:sz w:val="20"/>
          <w:szCs w:val="20"/>
          <w:lang w:eastAsia="en-US"/>
        </w:rPr>
        <w:t>Арбузова А.В.</w:t>
      </w:r>
    </w:p>
    <w:p w:rsidR="000B76BE" w:rsidRDefault="00974CC6" w:rsidP="00974CC6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  <w:r w:rsidRPr="00B612B9">
        <w:rPr>
          <w:rFonts w:ascii="PT Astra Serif" w:eastAsiaTheme="minorHAnsi" w:hAnsi="PT Astra Serif" w:cstheme="minorBidi"/>
          <w:sz w:val="20"/>
          <w:szCs w:val="20"/>
          <w:lang w:eastAsia="en-US"/>
        </w:rPr>
        <w:t>тел</w:t>
      </w:r>
      <w:r w:rsidR="00C443DE" w:rsidRPr="00B612B9">
        <w:rPr>
          <w:rFonts w:ascii="PT Astra Serif" w:eastAsiaTheme="minorHAnsi" w:hAnsi="PT Astra Serif" w:cstheme="minorBidi"/>
          <w:sz w:val="20"/>
          <w:szCs w:val="20"/>
          <w:lang w:eastAsia="en-US"/>
        </w:rPr>
        <w:t>. 55-812</w:t>
      </w:r>
    </w:p>
    <w:p w:rsidR="00693868" w:rsidRDefault="00693868" w:rsidP="00974CC6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</w:p>
    <w:sectPr w:rsidR="00693868" w:rsidSect="00455B7F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22"/>
    <w:rsid w:val="00033888"/>
    <w:rsid w:val="000B6668"/>
    <w:rsid w:val="000B76BE"/>
    <w:rsid w:val="00102B4B"/>
    <w:rsid w:val="00143711"/>
    <w:rsid w:val="001C363D"/>
    <w:rsid w:val="00221CBE"/>
    <w:rsid w:val="00455B7F"/>
    <w:rsid w:val="005356EE"/>
    <w:rsid w:val="00693868"/>
    <w:rsid w:val="006D3722"/>
    <w:rsid w:val="00974CC6"/>
    <w:rsid w:val="00B612B9"/>
    <w:rsid w:val="00BB102F"/>
    <w:rsid w:val="00BF0075"/>
    <w:rsid w:val="00C443DE"/>
    <w:rsid w:val="00E20135"/>
    <w:rsid w:val="00E76819"/>
    <w:rsid w:val="00F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74CD"/>
  <w15:chartTrackingRefBased/>
  <w15:docId w15:val="{34B4DAC9-A2A8-47CD-BEE3-5C80C290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76BE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0B76BE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0B76BE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5356EE"/>
    <w:rPr>
      <w:color w:val="0563C1" w:themeColor="hyperlink"/>
      <w:u w:val="single"/>
    </w:rPr>
  </w:style>
  <w:style w:type="paragraph" w:customStyle="1" w:styleId="Default">
    <w:name w:val="Default"/>
    <w:rsid w:val="00535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68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ostrj.ru/deyatelnost/municipalnaya-metodicheskaya-sluzhba/gorodskaya-shkola-molodogo-pedagoga/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uzovaAV@guostrj.ru" TargetMode="External"/><Relationship Id="rId5" Type="http://schemas.openxmlformats.org/officeDocument/2006/relationships/hyperlink" Target="https://toipkro.ru/departments/centr-organizacionno-metodicheskoj-raboty-35/nastavnichestvo/" TargetMode="External"/><Relationship Id="rId4" Type="http://schemas.openxmlformats.org/officeDocument/2006/relationships/hyperlink" Target="mailto:uo@guostrj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Олеся Александровна</dc:creator>
  <cp:keywords/>
  <dc:description/>
  <cp:lastModifiedBy>Арбузова Алина Владимировна</cp:lastModifiedBy>
  <cp:revision>82</cp:revision>
  <cp:lastPrinted>2022-07-01T04:20:00Z</cp:lastPrinted>
  <dcterms:created xsi:type="dcterms:W3CDTF">2020-09-30T03:46:00Z</dcterms:created>
  <dcterms:modified xsi:type="dcterms:W3CDTF">2022-07-04T03:25:00Z</dcterms:modified>
</cp:coreProperties>
</file>